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3" w:rsidRPr="003B4C03" w:rsidRDefault="003B4C03" w:rsidP="003B4C03">
      <w:pPr>
        <w:pStyle w:val="a3"/>
        <w:spacing w:before="0" w:beforeAutospacing="0"/>
        <w:jc w:val="both"/>
        <w:rPr>
          <w:i/>
          <w:color w:val="333333"/>
        </w:rPr>
      </w:pPr>
      <w:r w:rsidRPr="003B4C03">
        <w:rPr>
          <w:i/>
        </w:rPr>
        <w:t xml:space="preserve">КАК СТАТЬ </w:t>
      </w:r>
      <w:r w:rsidRPr="003B4C03">
        <w:rPr>
          <w:i/>
          <w:color w:val="333333"/>
        </w:rPr>
        <w:t>НАРОДНЫМ ДРУЖИННИКОМ?</w:t>
      </w:r>
    </w:p>
    <w:p w:rsidR="003B4C03" w:rsidRPr="003B4C03" w:rsidRDefault="003B4C03" w:rsidP="003B4C0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B4C03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 апреля 2014 г. № 44-ФЗ «Об участии граждан в охране общественного порядка» (далее – Закон) устанавливает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В народные дружины принимаются на добровольной основе граждане Российской Федерации, достигшие возраста восемнадцати лет, способные по своим деловым и личным качествам исполнять обязанности народных дружинников (статья 14 Закона).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i/>
          <w:color w:val="333333"/>
        </w:rPr>
      </w:pPr>
      <w:r w:rsidRPr="003B4C03">
        <w:rPr>
          <w:i/>
          <w:color w:val="333333"/>
        </w:rPr>
        <w:t>КТО НЕ МОЖЕТ СТАТЬ НАРОДНЫМ ДРУЖИННИКОМ?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В народные дружины не могут быть приняты граждане (часть 2 статьи 14 Закона):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 xml:space="preserve">1) </w:t>
      </w:r>
      <w:proofErr w:type="gramStart"/>
      <w:r w:rsidRPr="003B4C03">
        <w:rPr>
          <w:color w:val="333333"/>
        </w:rPr>
        <w:t>имеющие</w:t>
      </w:r>
      <w:proofErr w:type="gramEnd"/>
      <w:r w:rsidRPr="003B4C03">
        <w:rPr>
          <w:color w:val="333333"/>
        </w:rPr>
        <w:t xml:space="preserve"> неснятую или непогашенную судимость;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 xml:space="preserve">2) в отношении, </w:t>
      </w:r>
      <w:proofErr w:type="gramStart"/>
      <w:r w:rsidRPr="003B4C03">
        <w:rPr>
          <w:color w:val="333333"/>
        </w:rPr>
        <w:t>которых</w:t>
      </w:r>
      <w:proofErr w:type="gramEnd"/>
      <w:r w:rsidRPr="003B4C03">
        <w:rPr>
          <w:color w:val="333333"/>
        </w:rPr>
        <w:t xml:space="preserve"> осуществляется уголовное преследование;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3) ранее осужденные за умышленные преступления;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 года № 115-ФЗ «О противодействии легализации (отмыванию) доходов, полученных преступным путем, и финансированию терроризма»;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proofErr w:type="gramStart"/>
      <w:r w:rsidRPr="003B4C03">
        <w:rPr>
          <w:color w:val="333333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6) страдающие психическими расстройствами, больные наркоманией или алкоголизмом;</w:t>
      </w:r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proofErr w:type="gramStart"/>
      <w:r w:rsidRPr="003B4C03">
        <w:rPr>
          <w:color w:val="333333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B4C03" w:rsidRP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r w:rsidRPr="003B4C03">
        <w:rPr>
          <w:color w:val="333333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3B4C03" w:rsidRDefault="003B4C03" w:rsidP="003B4C03">
      <w:pPr>
        <w:pStyle w:val="a3"/>
        <w:spacing w:before="0" w:beforeAutospacing="0"/>
        <w:jc w:val="both"/>
        <w:rPr>
          <w:color w:val="333333"/>
        </w:rPr>
      </w:pPr>
      <w:proofErr w:type="gramStart"/>
      <w:r w:rsidRPr="003B4C03">
        <w:rPr>
          <w:color w:val="333333"/>
        </w:rPr>
        <w:t>9) имеющие гражданство (подданство) иностранного государства.</w:t>
      </w:r>
      <w:proofErr w:type="gramEnd"/>
    </w:p>
    <w:p w:rsidR="003B4C03" w:rsidRPr="003B4C03" w:rsidRDefault="003B4C03" w:rsidP="003B4C03">
      <w:pPr>
        <w:pStyle w:val="a3"/>
        <w:spacing w:before="0" w:beforeAutospacing="0"/>
        <w:jc w:val="center"/>
        <w:rPr>
          <w:color w:val="333333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143125"/>
            <wp:effectExtent l="19050" t="0" r="0" b="0"/>
            <wp:docPr id="1" name="Рисунок 1" descr="C:\Users\ИРИНА_2\Desktop\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_2\Desktop\karti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3" w:rsidRPr="003B4C03" w:rsidSect="003B4C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03"/>
    <w:rsid w:val="003B4C03"/>
    <w:rsid w:val="00C1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ИРИНА_2</dc:creator>
  <cp:lastModifiedBy>ИРИНА_2</cp:lastModifiedBy>
  <cp:revision>1</cp:revision>
  <dcterms:created xsi:type="dcterms:W3CDTF">2022-06-08T05:47:00Z</dcterms:created>
  <dcterms:modified xsi:type="dcterms:W3CDTF">2022-06-08T05:53:00Z</dcterms:modified>
</cp:coreProperties>
</file>